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/>
        <w:ind w:firstLine="709"/>
        <w:jc w:val="center"/>
        <w:rPr/>
      </w:pPr>
      <w:r>
        <w:t xml:space="preserve">ОПИСАНИЕ</w:t>
      </w:r>
      <w:r/>
    </w:p>
    <w:p>
      <w:pPr>
        <w:pBdr/>
        <w:spacing w:after="0"/>
        <w:ind w:firstLine="709"/>
        <w:jc w:val="center"/>
        <w:rPr/>
      </w:pPr>
      <w:r>
        <w:rPr>
          <w:b/>
        </w:rPr>
        <w:t xml:space="preserve">ПЕРЕДОВОЙ ПЕДАГОГИЧЕСКОЙ ПРАКТИКИ</w:t>
      </w:r>
      <w:r/>
    </w:p>
    <w:p>
      <w:pPr>
        <w:pBdr/>
        <w:spacing w:after="0"/>
        <w:ind w:firstLine="709"/>
        <w:jc w:val="both"/>
        <w:rPr/>
      </w:pPr>
      <w:r/>
      <w:r/>
    </w:p>
    <w:tbl>
      <w:tblPr>
        <w:tblStyle w:val="897"/>
        <w:tblW w:w="0" w:type="auto"/>
        <w:tblBorders/>
        <w:tblLook w:val="04A0" w:firstRow="1" w:lastRow="0" w:firstColumn="1" w:lastColumn="0" w:noHBand="0" w:noVBand="1"/>
      </w:tblPr>
      <w:tblGrid>
        <w:gridCol w:w="594"/>
        <w:gridCol w:w="2224"/>
        <w:gridCol w:w="255"/>
        <w:gridCol w:w="6271"/>
      </w:tblGrid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№ п/п</w:t>
            </w:r>
            <w:r/>
          </w:p>
        </w:tc>
        <w:tc>
          <w:tcPr>
            <w:tcBorders/>
            <w:tcW w:w="2224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Категория</w:t>
            </w:r>
            <w:r/>
          </w:p>
        </w:tc>
        <w:tc>
          <w:tcPr>
            <w:gridSpan w:val="2"/>
            <w:tcBorders/>
            <w:tcW w:w="6752" w:type="dxa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t xml:space="preserve">Описание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1</w:t>
            </w:r>
            <w:r/>
          </w:p>
        </w:tc>
        <w:tc>
          <w:tcPr>
            <w:tcBorders/>
            <w:tcW w:w="22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Регион</w:t>
            </w:r>
            <w:r/>
          </w:p>
        </w:tc>
        <w:tc>
          <w:tcPr>
            <w:gridSpan w:val="2"/>
            <w:tcBorders/>
            <w:tcW w:w="6752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Луганская Народная Республика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2</w:t>
            </w:r>
            <w:r/>
          </w:p>
        </w:tc>
        <w:tc>
          <w:tcPr>
            <w:tcBorders/>
            <w:tcW w:w="22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Наименование образовательной организации</w:t>
            </w:r>
            <w:r/>
          </w:p>
        </w:tc>
        <w:tc>
          <w:tcPr>
            <w:gridSpan w:val="2"/>
            <w:tcBorders/>
            <w:tcW w:w="6752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ГБОУ ЛНР «</w:t>
            </w:r>
            <w:r>
              <w:t xml:space="preserve">Половинкинская</w:t>
            </w:r>
            <w:r>
              <w:t xml:space="preserve"> СШ»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3</w:t>
            </w:r>
            <w:r/>
          </w:p>
        </w:tc>
        <w:tc>
          <w:tcPr>
            <w:tcBorders/>
            <w:tcW w:w="2224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ФИО автора</w:t>
            </w:r>
            <w:r>
              <w:t xml:space="preserve"> (полностью)</w:t>
            </w:r>
            <w:r/>
          </w:p>
        </w:tc>
        <w:tc>
          <w:tcPr>
            <w:gridSpan w:val="2"/>
            <w:tcBorders/>
            <w:tcW w:w="6752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Пристинский Дмитрий Павлович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4</w:t>
            </w:r>
            <w:r/>
          </w:p>
        </w:tc>
        <w:tc>
          <w:tcPr>
            <w:tcBorders/>
            <w:tcW w:w="22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Предмет</w:t>
            </w:r>
            <w:r>
              <w:t xml:space="preserve">/кружок</w:t>
            </w:r>
            <w:r/>
          </w:p>
        </w:tc>
        <w:tc>
          <w:tcPr>
            <w:gridSpan w:val="2"/>
            <w:tcBorders/>
            <w:tcW w:w="6752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Труды (технология).  Информатика.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5</w:t>
            </w:r>
            <w:r/>
          </w:p>
        </w:tc>
        <w:tc>
          <w:tcPr>
            <w:tcBorders/>
            <w:tcW w:w="22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Стаж работы</w:t>
            </w:r>
            <w:r/>
          </w:p>
        </w:tc>
        <w:tc>
          <w:tcPr>
            <w:gridSpan w:val="2"/>
            <w:tcBorders/>
            <w:tcW w:w="6752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13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6</w:t>
            </w:r>
            <w:r/>
          </w:p>
        </w:tc>
        <w:tc>
          <w:tcPr>
            <w:tcBorders/>
            <w:tcW w:w="22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Категория</w:t>
            </w:r>
            <w:r/>
          </w:p>
        </w:tc>
        <w:tc>
          <w:tcPr>
            <w:gridSpan w:val="2"/>
            <w:tcBorders/>
            <w:tcW w:w="6752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Высшая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7</w:t>
            </w:r>
            <w:r/>
          </w:p>
        </w:tc>
        <w:tc>
          <w:tcPr>
            <w:tcBorders/>
            <w:tcW w:w="222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Тема </w:t>
            </w:r>
            <w:r>
              <w:t xml:space="preserve">практики</w:t>
            </w:r>
            <w:r/>
          </w:p>
        </w:tc>
        <w:tc>
          <w:tcPr>
            <w:gridSpan w:val="2"/>
            <w:tcBorders/>
            <w:tcW w:w="6752" w:type="dxa"/>
            <w:textDirection w:val="lrTb"/>
            <w:noWrap w:val="false"/>
          </w:tcPr>
          <w:p>
            <w:pPr>
              <w:pStyle w:val="834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76" w:lineRule="auto"/>
              <w:ind w:right="0" w:firstLine="0" w:left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Интеграция методики «Мифологемы» и проблемного обучения в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r>
          </w:p>
          <w:p>
            <w:pPr>
              <w:pStyle w:val="834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76" w:lineRule="auto"/>
              <w:ind w:right="0" w:firstLine="0" w:left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образовательном процессе на уроках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труда (технологии) и информатики.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r>
          </w:p>
          <w:p>
            <w:pPr>
              <w:pBdr/>
              <w:spacing/>
              <w:ind/>
              <w:jc w:val="both"/>
              <w:rPr/>
            </w:pPr>
            <w:r/>
            <w:r/>
          </w:p>
        </w:tc>
      </w:tr>
      <w:tr>
        <w:trPr>
          <w:trHeight w:val="2113"/>
        </w:trPr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8</w:t>
            </w:r>
            <w:r>
              <w:t xml:space="preserve"> </w:t>
            </w:r>
            <w:r/>
          </w:p>
        </w:tc>
        <w:tc>
          <w:tcPr>
            <w:gridSpan w:val="3"/>
            <w:tcBorders/>
            <w:tcW w:w="8976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Краткое описание практики: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jc w:val="both"/>
              <w:rPr>
                <w:rFonts w:ascii="Times New Roman" w:hAnsi="Times New Roman" w:eastAsia="Times New Roman" w:cs="Times New Roman"/>
                <w:bCs w:val="0"/>
                <w:i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i w:val="0"/>
                <w:iCs w:val="0"/>
                <w:sz w:val="28"/>
                <w:szCs w:val="28"/>
                <w:highlight w:val="none"/>
              </w:rPr>
              <w:t xml:space="preserve">Суть практики состоит в том, что использование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z w:val="28"/>
                <w:szCs w:val="28"/>
                <w:highlight w:val="none"/>
              </w:rPr>
              <w:t xml:space="preserve">методики «мифологемы»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z w:val="28"/>
                <w:szCs w:val="28"/>
                <w:highlight w:val="none"/>
              </w:rPr>
              <w:t xml:space="preserve"> и проблемного подхода на уроках труда (технологии) и информатики повышает интерес у обучающихся к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z w:val="28"/>
                <w:szCs w:val="28"/>
                <w:highlight w:val="none"/>
              </w:rPr>
              <w:t xml:space="preserve">образовательному процессу,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z w:val="28"/>
                <w:szCs w:val="28"/>
                <w:highlight w:val="none"/>
              </w:rPr>
              <w:t xml:space="preserve">стимулирует их к активному выполнению учебных задач, способствует развитию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color w:val="000000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color w:val="000000"/>
                <w:sz w:val="28"/>
                <w:szCs w:val="28"/>
                <w:highlight w:val="white"/>
              </w:rPr>
              <w:t xml:space="preserve">творческих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color w:val="000000"/>
                <w:sz w:val="28"/>
                <w:szCs w:val="28"/>
                <w:highlight w:val="none"/>
              </w:rPr>
              <w:t xml:space="preserve">способностей.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bCs w:val="0"/>
                <w:i w:val="0"/>
                <w:color w:val="000000"/>
                <w:sz w:val="28"/>
                <w:szCs w:val="28"/>
                <w:highlight w:val="none"/>
              </w:rPr>
            </w:r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9</w:t>
            </w:r>
            <w:r/>
          </w:p>
        </w:tc>
        <w:tc>
          <w:tcPr>
            <w:gridSpan w:val="2"/>
            <w:tcBorders/>
            <w:tcW w:w="2491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Распространение практики (уровни, на которых была представлена практика)</w:t>
            </w:r>
            <w:r/>
          </w:p>
        </w:tc>
        <w:tc>
          <w:tcPr>
            <w:tcBorders/>
            <w:tcW w:w="6485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Ш</w:t>
            </w:r>
            <w:r>
              <w:t xml:space="preserve">кольные методические объединения</w:t>
            </w:r>
            <w:r>
              <w:t xml:space="preserve">.</w:t>
            </w:r>
            <w:r/>
          </w:p>
          <w:p>
            <w:pPr>
              <w:pBdr/>
              <w:spacing/>
              <w:ind/>
              <w:jc w:val="both"/>
              <w:rPr/>
            </w:pPr>
            <w:r>
              <w:t xml:space="preserve">Муниципальное </w:t>
            </w:r>
            <w:r>
              <w:t xml:space="preserve"> методическое объединение</w:t>
            </w:r>
            <w:r>
              <w:t xml:space="preserve">.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10</w:t>
            </w:r>
            <w:r/>
          </w:p>
        </w:tc>
        <w:tc>
          <w:tcPr>
            <w:gridSpan w:val="2"/>
            <w:tcBorders/>
            <w:tcW w:w="2491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Публикации, в которых отражена практика (если име</w:t>
            </w:r>
            <w:r>
              <w:t xml:space="preserve">ются)</w:t>
            </w:r>
            <w:r/>
          </w:p>
        </w:tc>
        <w:tc>
          <w:tcPr>
            <w:tcBorders/>
            <w:tcW w:w="6485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  <w:hyperlink r:id="rId9" w:tooltip="https://disk.yandex.ru/i/VUPl6WJ5TenvDA" w:history="1">
              <w:r>
                <w:rPr>
                  <w:rStyle w:val="879"/>
                </w:rPr>
                <w:t xml:space="preserve">https://disk.yandex.ru/i/VUPl6WJ5TenvDA</w:t>
              </w:r>
              <w:r>
                <w:rPr>
                  <w:rStyle w:val="879"/>
                </w:rPr>
              </w:r>
            </w:hyperlink>
            <w:r>
              <w:t xml:space="preserve"> </w:t>
            </w:r>
            <w:r/>
          </w:p>
        </w:tc>
      </w:tr>
      <w:tr>
        <w:trPr/>
        <w:tc>
          <w:tcPr>
            <w:tcBorders/>
            <w:tcW w:w="594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>
              <w:t xml:space="preserve">11</w:t>
            </w:r>
            <w:r/>
          </w:p>
        </w:tc>
        <w:tc>
          <w:tcPr>
            <w:gridSpan w:val="2"/>
            <w:tcBorders/>
            <w:tcW w:w="2491" w:type="dxa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t xml:space="preserve">Ссылка на дополнительные материалы, позволяющие больше узнать о практике</w:t>
            </w:r>
            <w:r/>
          </w:p>
        </w:tc>
        <w:tc>
          <w:tcPr>
            <w:tcBorders/>
            <w:tcW w:w="6485" w:type="dxa"/>
            <w:textDirection w:val="lrTb"/>
            <w:noWrap w:val="false"/>
          </w:tcPr>
          <w:p>
            <w:pPr>
              <w:pBdr/>
              <w:spacing/>
              <w:ind/>
              <w:jc w:val="both"/>
              <w:rPr/>
            </w:pPr>
            <w:r/>
            <w:r/>
            <w:hyperlink r:id="rId10" w:tooltip="https://disk.yandex.ru/i/VUPl6WJ5TenvDA" w:history="1">
              <w:r>
                <w:rPr>
                  <w:rStyle w:val="879"/>
                </w:rPr>
                <w:t xml:space="preserve">https://disk.yandex.ru/i/VUPl6WJ5TenvDA</w:t>
              </w:r>
              <w:r>
                <w:rPr>
                  <w:rStyle w:val="879"/>
                </w:rPr>
              </w:r>
            </w:hyperlink>
            <w:r>
              <w:t xml:space="preserve"> </w:t>
            </w:r>
            <w:r/>
          </w:p>
        </w:tc>
      </w:tr>
    </w:tbl>
    <w:p>
      <w:pPr>
        <w:pBdr/>
        <w:spacing w:after="0"/>
        <w:ind w:firstLine="709"/>
        <w:jc w:val="both"/>
        <w:rPr/>
      </w:pPr>
      <w:r/>
      <w:r/>
    </w:p>
    <w:p>
      <w:pPr>
        <w:pBdr/>
        <w:spacing w:after="0"/>
        <w:ind w:firstLine="709"/>
        <w:jc w:val="both"/>
        <w:rPr/>
      </w:pPr>
      <w:r>
        <w:t xml:space="preserve">Далее развернутое описание практики (с нового листа).</w:t>
      </w:r>
      <w:r/>
    </w:p>
    <w:p>
      <w:pPr>
        <w:pBdr/>
        <w:spacing w:after="0"/>
        <w:ind w:firstLine="709"/>
        <w:jc w:val="both"/>
        <w:rPr/>
      </w:pPr>
      <w:r/>
      <w:r/>
    </w:p>
    <w:p>
      <w:pPr>
        <w:pBdr/>
        <w:spacing w:after="0" w:line="360" w:lineRule="auto"/>
        <w:ind w:firstLine="709"/>
        <w:jc w:val="center"/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  <w:r>
        <w:rPr>
          <w:bCs/>
          <w:i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Мифологемы в обучении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pBdr/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white"/>
        </w:rPr>
        <w:t xml:space="preserve">Мифологемы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— это один из методов обучения, основанный на использовании мифологических и легендарных историй для передачи знаний и ценностей.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использую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метод мифологем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(мифологические сюжеты) для создания проблемных учебных задач на уроках труда (технологии) и информатики, чтобы стимулировать обучающихся к активной работе.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уроках труда предлагаю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ученикам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создать проекты, вдохновленные мифологическими образами. Напри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мер, спроектировать мебель и декоративные элементы, основываясь на мифах. Ребята с большим интересом работают над выполнением таких заданий, подходят к ним творчески. Это не только развивает их креативность, но и помогает глубже понять культурные архетипы.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36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уроках информатики использовали мифологические сюжеты для создания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изображений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анимации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Учащиеся разрабатывали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свои проекты, вдохновляясь мифами, что делало процесс обучения более захватывающим.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Этот подход позволяет обучающимся не только получить информацию, но и воспринять ее эмоционально, увлечься учебной задачей.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Анализ мифологических сюжетов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и персонажей дает возможность школьникам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понять главную мысль,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они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извлекают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из ситуации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моральные уроки и принципы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усваивают важные жизненные уроки.</w:t>
      </w:r>
      <w:r>
        <w:rPr>
          <w:rFonts w:ascii="Times New Roman" w:hAnsi="Times New Roman" w:eastAsia="Times New Roman" w:cs="Times New Roman"/>
          <w:color w:val="000000"/>
          <w:sz w:val="24"/>
        </w:rPr>
        <w:br/>
      </w:r>
      <w:r>
        <w:rPr>
          <w:rFonts w:ascii="Times New Roman" w:hAnsi="Times New Roman" w:eastAsia="Times New Roman" w:cs="Times New Roman"/>
          <w:b/>
          <w:color w:val="333333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b/>
          <w:color w:val="333333"/>
          <w:sz w:val="28"/>
          <w:szCs w:val="28"/>
          <w:highlight w:val="white"/>
        </w:rPr>
        <w:t xml:space="preserve">Проблемное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b/>
          <w:color w:val="333333"/>
          <w:sz w:val="28"/>
          <w:szCs w:val="28"/>
          <w:highlight w:val="white"/>
        </w:rPr>
        <w:t xml:space="preserve">обучение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highlight w:val="white"/>
        </w:rPr>
        <w:t xml:space="preserve"> — метод, при котором изучение предмета происходит через анализ и решение различных проблем. Такой подход предполагает активное участие учащихся в поиске решений и формировании собственного понимания темы.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Используя проблемное обучение, ставлю перед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чениками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реальные задачи. На уроках труда, например, решали, как создать устойчивые продукты, используя мифологические образы. Это стимулировало их критическое мышление и способствовало развитию навыков решения проблем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(задач)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уроках информатики анализировали и решали задачи по разработке программного обеспечения, вдохновленного мифами. Исследовательские проекты помогли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ученикам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увидеть, как мифы могут влиять на современные технологии.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Интеграция методов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рамках своей работы я изучаю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потенциал сочетания трудового обучения и информатики,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стремлюсь разработать эффективные методы интеграции уроков труда и информатики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через междисциплинарные проекты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Решая задачу поиска оптимальных способов использования уроков труда и информатики в комплексе, разрабатывал для обучающихся задания по созданию интегрированных интерактивных проектов, основанных на мифологических историях и легендах.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 работы по созданию интерактивных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продуктов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где мифологические темы оживали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благодаря технологиям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можно было увидеть в разы быстрее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Дискуссии и дебаты о роли мифов в современном мире способствовали развитию аналитических навыков.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Результаты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Использование интеграции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метода мифологем и проблемного обучени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  значительно повышают мотивацию об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учающихся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Выполнение таких заданий школьниками показывает, что они стали более вовлеченными и заинтересованными в учебе.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Положительными характерис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тиками интеграции методов являются формирование у обучающихся установки на творческий поиск решений проблем, развитие креативного мышления, снижение уровня тревожности при столкновении с новыми задачами.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Мои наблюдения показывают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highlight w:val="white"/>
        </w:rPr>
        <w:t xml:space="preserve">—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произошло улучшение их технических и креативных способностей, что было особенно приятно констатировать.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Заключение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Bdr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еграция метода мифологем и проблемного обучения оказала положительное влияние на мои уроки, они стали более продуктивными и увлекательными. Я уверен, что эти методы могут быть адаптированы и для других предметов, обогащая образовательный процесс и помогая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ученикам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развивать важные навыки.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Bdr/>
        <w:spacing w:line="360" w:lineRule="auto"/>
        <w:ind/>
        <w:rPr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5390" cy="646052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21290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845389" cy="6460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381.53pt;height:508.70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highlight w:val="none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pBdr/>
        <w:spacing w:line="360" w:lineRule="auto"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445484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00080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9789" cy="44548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67.70pt;height:350.77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445484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99667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39789" cy="44548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67.70pt;height:350.77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445484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6264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39789" cy="44548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67.70pt;height:350.77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pBdr/>
        <w:spacing w:line="360" w:lineRule="auto"/>
        <w:ind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7340" cy="449356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48559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5207339" cy="44935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0.03pt;height:353.82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Bdr/>
        <w:spacing w:line="360" w:lineRule="auto"/>
        <w:ind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90900" cy="504825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33537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390899" cy="5048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267.00pt;height:397.50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sectPr>
      <w:footnotePr/>
      <w:endnotePr/>
      <w:type w:val="nextPage"/>
      <w:pgSz w:h="16838" w:orient="portrait" w:w="11906"/>
      <w:pgMar w:top="1134" w:right="851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2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3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4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5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9">
    <w:name w:val="Table Grid Light"/>
    <w:basedOn w:val="89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Plain Table 1"/>
    <w:basedOn w:val="89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Plain Table 2"/>
    <w:basedOn w:val="89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Plain Table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Plain Table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Plain Table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1 Light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1 Light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1 Light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1 Light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1 Light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1 Light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1 Light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2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2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2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2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2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2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3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3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3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3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3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3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4"/>
    <w:basedOn w:val="89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4 - Accent 1"/>
    <w:basedOn w:val="89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4 - Accent 2"/>
    <w:basedOn w:val="89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4 - Accent 3"/>
    <w:basedOn w:val="89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4 - Accent 4"/>
    <w:basedOn w:val="89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4 - Accent 5"/>
    <w:basedOn w:val="89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4 - Accent 6"/>
    <w:basedOn w:val="89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5 Dark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5 Dark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5 Dark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5 Dark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5 Dark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5 Dark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5 Dark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6 Colorful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6 Colorful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6 Colorful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6 Colorful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6 Colorful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6 Colorful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6 Colorful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7 Colorful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7 Colorful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7 Colorful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7 Colorful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7 Colorful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7 Colorful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7 Colorful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1 Light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1 Light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1 Light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1 Light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1 Light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1 Light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1 Light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2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2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2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2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2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2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3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3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3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3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3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3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4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4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4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4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4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4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5 Dark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5 Dark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5 Dark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5 Dark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5 Dark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5 Dark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5 Dark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6 Colorful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6 Colorful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6 Colorful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6 Colorful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6 Colorful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6 Colorful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6 Colorful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7 Colorful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7 Colorful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7 Colorful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7 Colorful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7 Colorful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7 Colorful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7 Colorful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ned - Accent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ned - Accent 1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ned - Accent 2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ned - Accent 3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ned - Accent 4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ned - Accent 5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ned - Accent 6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&amp; Lined - Accent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&amp; Lined - Accent 1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&amp; Lined - Accent 2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&amp; Lined - Accent 3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&amp; Lined - Accent 4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&amp; Lined - Accent 5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&amp; Lined - Accent 6"/>
    <w:basedOn w:val="89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Bordered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Bordered - Accent 1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Bordered - Accent 2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Bordered - Accent 3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Bordered - Accent 4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Bordered - Accent 5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Bordered - Accent 6"/>
    <w:basedOn w:val="89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34">
    <w:name w:val="Heading 1"/>
    <w:basedOn w:val="892"/>
    <w:next w:val="892"/>
    <w:link w:val="842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35">
    <w:name w:val="Heading 2"/>
    <w:basedOn w:val="892"/>
    <w:next w:val="892"/>
    <w:link w:val="843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36">
    <w:name w:val="Heading 4"/>
    <w:basedOn w:val="892"/>
    <w:next w:val="892"/>
    <w:link w:val="845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7">
    <w:name w:val="Heading 5"/>
    <w:basedOn w:val="892"/>
    <w:next w:val="892"/>
    <w:link w:val="846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8">
    <w:name w:val="Heading 6"/>
    <w:basedOn w:val="892"/>
    <w:next w:val="892"/>
    <w:link w:val="847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9">
    <w:name w:val="Heading 7"/>
    <w:basedOn w:val="892"/>
    <w:next w:val="892"/>
    <w:link w:val="848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40">
    <w:name w:val="Heading 8"/>
    <w:basedOn w:val="892"/>
    <w:next w:val="892"/>
    <w:link w:val="849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41">
    <w:name w:val="Heading 9"/>
    <w:basedOn w:val="892"/>
    <w:next w:val="892"/>
    <w:link w:val="850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42">
    <w:name w:val="Heading 1 Char"/>
    <w:basedOn w:val="894"/>
    <w:link w:val="83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43">
    <w:name w:val="Heading 2 Char"/>
    <w:basedOn w:val="894"/>
    <w:link w:val="83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44">
    <w:name w:val="Heading 3 Char"/>
    <w:basedOn w:val="894"/>
    <w:link w:val="89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5">
    <w:name w:val="Heading 4 Char"/>
    <w:basedOn w:val="894"/>
    <w:link w:val="83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6">
    <w:name w:val="Heading 5 Char"/>
    <w:basedOn w:val="894"/>
    <w:link w:val="83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7">
    <w:name w:val="Heading 6 Char"/>
    <w:basedOn w:val="894"/>
    <w:link w:val="83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8">
    <w:name w:val="Heading 7 Char"/>
    <w:basedOn w:val="894"/>
    <w:link w:val="83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9">
    <w:name w:val="Heading 8 Char"/>
    <w:basedOn w:val="894"/>
    <w:link w:val="84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50">
    <w:name w:val="Heading 9 Char"/>
    <w:basedOn w:val="894"/>
    <w:link w:val="84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51">
    <w:name w:val="Title"/>
    <w:basedOn w:val="892"/>
    <w:next w:val="892"/>
    <w:link w:val="852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52">
    <w:name w:val="Title Char"/>
    <w:basedOn w:val="894"/>
    <w:link w:val="85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53">
    <w:name w:val="Subtitle"/>
    <w:basedOn w:val="892"/>
    <w:next w:val="892"/>
    <w:link w:val="854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54">
    <w:name w:val="Subtitle Char"/>
    <w:basedOn w:val="894"/>
    <w:link w:val="853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55">
    <w:name w:val="Quote"/>
    <w:basedOn w:val="892"/>
    <w:next w:val="892"/>
    <w:link w:val="856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6">
    <w:name w:val="Quote Char"/>
    <w:basedOn w:val="894"/>
    <w:link w:val="855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57">
    <w:name w:val="List Paragraph"/>
    <w:basedOn w:val="892"/>
    <w:uiPriority w:val="34"/>
    <w:qFormat/>
    <w:pPr>
      <w:pBdr/>
      <w:spacing/>
      <w:ind w:left="720"/>
      <w:contextualSpacing w:val="true"/>
    </w:pPr>
  </w:style>
  <w:style w:type="character" w:styleId="858">
    <w:name w:val="Intense Emphasis"/>
    <w:basedOn w:val="894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9">
    <w:name w:val="Intense Quote"/>
    <w:basedOn w:val="892"/>
    <w:next w:val="892"/>
    <w:link w:val="860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60">
    <w:name w:val="Intense Quote Char"/>
    <w:basedOn w:val="894"/>
    <w:link w:val="859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61">
    <w:name w:val="Intense Reference"/>
    <w:basedOn w:val="894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62">
    <w:name w:val="No Spacing"/>
    <w:basedOn w:val="892"/>
    <w:uiPriority w:val="1"/>
    <w:qFormat/>
    <w:pPr>
      <w:pBdr/>
      <w:spacing w:after="0" w:line="240" w:lineRule="auto"/>
      <w:ind/>
    </w:pPr>
  </w:style>
  <w:style w:type="character" w:styleId="863">
    <w:name w:val="Subtle Emphasis"/>
    <w:basedOn w:val="89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64">
    <w:name w:val="Emphasis"/>
    <w:basedOn w:val="894"/>
    <w:uiPriority w:val="20"/>
    <w:qFormat/>
    <w:pPr>
      <w:pBdr/>
      <w:spacing/>
      <w:ind/>
    </w:pPr>
    <w:rPr>
      <w:i/>
      <w:iCs/>
    </w:rPr>
  </w:style>
  <w:style w:type="character" w:styleId="865">
    <w:name w:val="Strong"/>
    <w:basedOn w:val="894"/>
    <w:uiPriority w:val="22"/>
    <w:qFormat/>
    <w:pPr>
      <w:pBdr/>
      <w:spacing/>
      <w:ind/>
    </w:pPr>
    <w:rPr>
      <w:b/>
      <w:bCs/>
    </w:rPr>
  </w:style>
  <w:style w:type="character" w:styleId="866">
    <w:name w:val="Subtle Reference"/>
    <w:basedOn w:val="89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7">
    <w:name w:val="Book Title"/>
    <w:basedOn w:val="894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8">
    <w:name w:val="Header"/>
    <w:basedOn w:val="892"/>
    <w:link w:val="86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9">
    <w:name w:val="Header Char"/>
    <w:basedOn w:val="894"/>
    <w:link w:val="868"/>
    <w:uiPriority w:val="99"/>
    <w:pPr>
      <w:pBdr/>
      <w:spacing/>
      <w:ind/>
    </w:pPr>
  </w:style>
  <w:style w:type="paragraph" w:styleId="870">
    <w:name w:val="Footer"/>
    <w:basedOn w:val="892"/>
    <w:link w:val="87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71">
    <w:name w:val="Footer Char"/>
    <w:basedOn w:val="894"/>
    <w:link w:val="870"/>
    <w:uiPriority w:val="99"/>
    <w:pPr>
      <w:pBdr/>
      <w:spacing/>
      <w:ind/>
    </w:pPr>
  </w:style>
  <w:style w:type="paragraph" w:styleId="872">
    <w:name w:val="Caption"/>
    <w:basedOn w:val="892"/>
    <w:next w:val="89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73">
    <w:name w:val="footnote text"/>
    <w:basedOn w:val="892"/>
    <w:link w:val="87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4">
    <w:name w:val="Footnote Text Char"/>
    <w:basedOn w:val="894"/>
    <w:link w:val="873"/>
    <w:uiPriority w:val="99"/>
    <w:semiHidden/>
    <w:pPr>
      <w:pBdr/>
      <w:spacing/>
      <w:ind/>
    </w:pPr>
    <w:rPr>
      <w:sz w:val="20"/>
      <w:szCs w:val="20"/>
    </w:rPr>
  </w:style>
  <w:style w:type="character" w:styleId="875">
    <w:name w:val="footnote reference"/>
    <w:basedOn w:val="894"/>
    <w:uiPriority w:val="99"/>
    <w:semiHidden/>
    <w:unhideWhenUsed/>
    <w:pPr>
      <w:pBdr/>
      <w:spacing/>
      <w:ind/>
    </w:pPr>
    <w:rPr>
      <w:vertAlign w:val="superscript"/>
    </w:rPr>
  </w:style>
  <w:style w:type="paragraph" w:styleId="876">
    <w:name w:val="endnote text"/>
    <w:basedOn w:val="892"/>
    <w:link w:val="87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7">
    <w:name w:val="Endnote Text Char"/>
    <w:basedOn w:val="894"/>
    <w:link w:val="876"/>
    <w:uiPriority w:val="99"/>
    <w:semiHidden/>
    <w:pPr>
      <w:pBdr/>
      <w:spacing/>
      <w:ind/>
    </w:pPr>
    <w:rPr>
      <w:sz w:val="20"/>
      <w:szCs w:val="20"/>
    </w:rPr>
  </w:style>
  <w:style w:type="character" w:styleId="878">
    <w:name w:val="endnote reference"/>
    <w:basedOn w:val="894"/>
    <w:uiPriority w:val="99"/>
    <w:semiHidden/>
    <w:unhideWhenUsed/>
    <w:pPr>
      <w:pBdr/>
      <w:spacing/>
      <w:ind/>
    </w:pPr>
    <w:rPr>
      <w:vertAlign w:val="superscript"/>
    </w:rPr>
  </w:style>
  <w:style w:type="character" w:styleId="879">
    <w:name w:val="Hyperlink"/>
    <w:basedOn w:val="894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80">
    <w:name w:val="FollowedHyperlink"/>
    <w:basedOn w:val="89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81">
    <w:name w:val="toc 1"/>
    <w:basedOn w:val="892"/>
    <w:next w:val="892"/>
    <w:uiPriority w:val="39"/>
    <w:unhideWhenUsed/>
    <w:pPr>
      <w:pBdr/>
      <w:spacing w:after="100"/>
      <w:ind/>
    </w:pPr>
  </w:style>
  <w:style w:type="paragraph" w:styleId="882">
    <w:name w:val="toc 2"/>
    <w:basedOn w:val="892"/>
    <w:next w:val="892"/>
    <w:uiPriority w:val="39"/>
    <w:unhideWhenUsed/>
    <w:pPr>
      <w:pBdr/>
      <w:spacing w:after="100"/>
      <w:ind w:left="220"/>
    </w:pPr>
  </w:style>
  <w:style w:type="paragraph" w:styleId="883">
    <w:name w:val="toc 3"/>
    <w:basedOn w:val="892"/>
    <w:next w:val="892"/>
    <w:uiPriority w:val="39"/>
    <w:unhideWhenUsed/>
    <w:pPr>
      <w:pBdr/>
      <w:spacing w:after="100"/>
      <w:ind w:left="440"/>
    </w:pPr>
  </w:style>
  <w:style w:type="paragraph" w:styleId="884">
    <w:name w:val="toc 4"/>
    <w:basedOn w:val="892"/>
    <w:next w:val="892"/>
    <w:uiPriority w:val="39"/>
    <w:unhideWhenUsed/>
    <w:pPr>
      <w:pBdr/>
      <w:spacing w:after="100"/>
      <w:ind w:left="660"/>
    </w:pPr>
  </w:style>
  <w:style w:type="paragraph" w:styleId="885">
    <w:name w:val="toc 5"/>
    <w:basedOn w:val="892"/>
    <w:next w:val="892"/>
    <w:uiPriority w:val="39"/>
    <w:unhideWhenUsed/>
    <w:pPr>
      <w:pBdr/>
      <w:spacing w:after="100"/>
      <w:ind w:left="880"/>
    </w:pPr>
  </w:style>
  <w:style w:type="paragraph" w:styleId="886">
    <w:name w:val="toc 6"/>
    <w:basedOn w:val="892"/>
    <w:next w:val="892"/>
    <w:uiPriority w:val="39"/>
    <w:unhideWhenUsed/>
    <w:pPr>
      <w:pBdr/>
      <w:spacing w:after="100"/>
      <w:ind w:left="1100"/>
    </w:pPr>
  </w:style>
  <w:style w:type="paragraph" w:styleId="887">
    <w:name w:val="toc 7"/>
    <w:basedOn w:val="892"/>
    <w:next w:val="892"/>
    <w:uiPriority w:val="39"/>
    <w:unhideWhenUsed/>
    <w:pPr>
      <w:pBdr/>
      <w:spacing w:after="100"/>
      <w:ind w:left="1320"/>
    </w:pPr>
  </w:style>
  <w:style w:type="paragraph" w:styleId="888">
    <w:name w:val="toc 8"/>
    <w:basedOn w:val="892"/>
    <w:next w:val="892"/>
    <w:uiPriority w:val="39"/>
    <w:unhideWhenUsed/>
    <w:pPr>
      <w:pBdr/>
      <w:spacing w:after="100"/>
      <w:ind w:left="1540"/>
    </w:pPr>
  </w:style>
  <w:style w:type="paragraph" w:styleId="889">
    <w:name w:val="toc 9"/>
    <w:basedOn w:val="892"/>
    <w:next w:val="892"/>
    <w:uiPriority w:val="39"/>
    <w:unhideWhenUsed/>
    <w:pPr>
      <w:pBdr/>
      <w:spacing w:after="100"/>
      <w:ind w:left="1760"/>
    </w:pPr>
  </w:style>
  <w:style w:type="paragraph" w:styleId="890">
    <w:name w:val="TOC Heading"/>
    <w:uiPriority w:val="39"/>
    <w:unhideWhenUsed/>
    <w:pPr>
      <w:pBdr/>
      <w:spacing/>
      <w:ind/>
    </w:pPr>
  </w:style>
  <w:style w:type="paragraph" w:styleId="891">
    <w:name w:val="table of figures"/>
    <w:basedOn w:val="892"/>
    <w:next w:val="892"/>
    <w:uiPriority w:val="99"/>
    <w:unhideWhenUsed/>
    <w:pPr>
      <w:pBdr/>
      <w:spacing w:after="0" w:afterAutospacing="0"/>
      <w:ind/>
    </w:pPr>
  </w:style>
  <w:style w:type="paragraph" w:styleId="892" w:default="1">
    <w:name w:val="Normal"/>
    <w:qFormat/>
    <w:pPr>
      <w:pBdr/>
      <w:spacing w:line="240" w:lineRule="auto"/>
      <w:ind/>
    </w:pPr>
    <w:rPr>
      <w:rFonts w:ascii="Times New Roman" w:hAnsi="Times New Roman"/>
      <w:sz w:val="28"/>
    </w:rPr>
  </w:style>
  <w:style w:type="paragraph" w:styleId="893">
    <w:name w:val="Heading 3"/>
    <w:basedOn w:val="892"/>
    <w:link w:val="898"/>
    <w:uiPriority w:val="9"/>
    <w:qFormat/>
    <w:pPr>
      <w:pBdr/>
      <w:spacing w:after="100" w:afterAutospacing="1" w:before="100" w:beforeAutospacing="1"/>
      <w:ind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styleId="894" w:default="1">
    <w:name w:val="Default Paragraph Font"/>
    <w:uiPriority w:val="1"/>
    <w:semiHidden/>
    <w:unhideWhenUsed/>
    <w:pPr>
      <w:pBdr/>
      <w:spacing/>
      <w:ind/>
    </w:pPr>
  </w:style>
  <w:style w:type="table" w:styleId="89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96" w:default="1">
    <w:name w:val="No List"/>
    <w:uiPriority w:val="99"/>
    <w:semiHidden/>
    <w:unhideWhenUsed/>
    <w:pPr>
      <w:pBdr/>
      <w:spacing/>
      <w:ind/>
    </w:pPr>
  </w:style>
  <w:style w:type="table" w:styleId="897">
    <w:name w:val="Table Grid"/>
    <w:basedOn w:val="895"/>
    <w:uiPriority w:val="3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98" w:customStyle="1">
    <w:name w:val="Заголовок 3 Знак"/>
    <w:basedOn w:val="894"/>
    <w:link w:val="893"/>
    <w:uiPriority w:val="9"/>
    <w:pPr>
      <w:pBdr/>
      <w:spacing/>
      <w:ind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899">
    <w:name w:val="Normal (Web)"/>
    <w:basedOn w:val="892"/>
    <w:uiPriority w:val="99"/>
    <w:semiHidden/>
    <w:unhideWhenUsed/>
    <w:pPr>
      <w:pBdr/>
      <w:spacing w:after="100" w:afterAutospacing="1" w:before="100" w:beforeAutospacing="1"/>
      <w:ind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disk.yandex.ru/i/VUPl6WJ5TenvDA" TargetMode="External"/><Relationship Id="rId10" Type="http://schemas.openxmlformats.org/officeDocument/2006/relationships/hyperlink" Target="https://disk.yandex.ru/i/VUPl6WJ5TenvDA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png"/><Relationship Id="rId16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ONLYOFFICE/8.3.3.21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revision>7</cp:revision>
  <dcterms:created xsi:type="dcterms:W3CDTF">2025-02-06T05:35:00Z</dcterms:created>
  <dcterms:modified xsi:type="dcterms:W3CDTF">2025-06-11T11:35:23Z</dcterms:modified>
</cp:coreProperties>
</file>