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99C3C" w14:textId="77777777" w:rsidR="00C40A6B" w:rsidRDefault="00C40A6B" w:rsidP="00C40A6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0BEB7973" w14:textId="77777777" w:rsidR="00C40A6B" w:rsidRDefault="00C40A6B" w:rsidP="00C40A6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2447E8">
        <w:rPr>
          <w:b/>
          <w:color w:val="auto"/>
          <w:sz w:val="22"/>
        </w:rPr>
        <w:t>ПРЕПОДАВАТЕЛЬ</w:t>
      </w:r>
      <w:r>
        <w:rPr>
          <w:b/>
          <w:color w:val="auto"/>
          <w:sz w:val="22"/>
        </w:rPr>
        <w:t>»</w:t>
      </w:r>
    </w:p>
    <w:p w14:paraId="639EE779" w14:textId="77777777" w:rsidR="00AB6139" w:rsidRDefault="00AB6139" w:rsidP="00AB6139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28 баллов</w:t>
      </w:r>
    </w:p>
    <w:p w14:paraId="6222FDB9" w14:textId="77777777" w:rsidR="00C40A6B" w:rsidRDefault="00C40A6B" w:rsidP="00C40A6B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1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  <w:gridCol w:w="3121"/>
        <w:gridCol w:w="2266"/>
      </w:tblGrid>
      <w:tr w:rsidR="00C40A6B" w14:paraId="7D6399FA" w14:textId="77777777" w:rsidTr="00524133">
        <w:trPr>
          <w:trHeight w:val="614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C8A34" w14:textId="77777777" w:rsidR="00C40A6B" w:rsidRDefault="00C40A6B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EF197" w14:textId="77777777" w:rsidR="00C40A6B" w:rsidRDefault="00C40A6B">
            <w:pPr>
              <w:widowControl w:val="0"/>
              <w:spacing w:after="0" w:line="240" w:lineRule="auto"/>
              <w:ind w:left="33"/>
              <w:rPr>
                <w:iCs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4086FBB5" w14:textId="77777777" w:rsidR="00C40A6B" w:rsidRDefault="00C40A6B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15731E08" w14:textId="77777777" w:rsidR="00C40A6B" w:rsidRDefault="00C40A6B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3D31F" w14:textId="77777777" w:rsidR="00C40A6B" w:rsidRDefault="00C40A6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Форма предоставления информации</w:t>
            </w:r>
          </w:p>
          <w:p w14:paraId="36D751A3" w14:textId="6D72D0C5" w:rsidR="00C40A6B" w:rsidRDefault="00C40A6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  <w:lang w:eastAsia="en-US"/>
              </w:rPr>
              <w:t>)</w:t>
            </w:r>
          </w:p>
        </w:tc>
      </w:tr>
      <w:tr w:rsidR="00C40A6B" w14:paraId="19C55011" w14:textId="77777777" w:rsidTr="00524133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6FBC3" w14:textId="77777777" w:rsidR="00C40A6B" w:rsidRDefault="00C40A6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C40A6B" w14:paraId="15894B5D" w14:textId="77777777" w:rsidTr="00524133">
        <w:trPr>
          <w:trHeight w:val="209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9D6921" w14:textId="77777777" w:rsidR="00C40A6B" w:rsidRDefault="00C40A6B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1.1.</w:t>
            </w:r>
          </w:p>
          <w:p w14:paraId="244404D3" w14:textId="129B3721" w:rsidR="00C40A6B" w:rsidRPr="00012BE6" w:rsidRDefault="00C40A6B" w:rsidP="00012BE6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9C6CD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F137D3">
              <w:rPr>
                <w:b/>
                <w:bCs/>
                <w:iCs/>
                <w:color w:val="auto"/>
                <w:sz w:val="22"/>
                <w:lang w:eastAsia="en-US"/>
              </w:rPr>
              <w:t>0 баллов –</w:t>
            </w:r>
            <w:r>
              <w:rPr>
                <w:iCs/>
                <w:color w:val="FF0000"/>
                <w:sz w:val="22"/>
                <w:lang w:eastAsia="en-US"/>
              </w:rPr>
              <w:t xml:space="preserve"> </w:t>
            </w:r>
            <w:r>
              <w:rPr>
                <w:iCs/>
                <w:color w:val="auto"/>
                <w:sz w:val="22"/>
                <w:lang w:eastAsia="en-US"/>
              </w:rPr>
              <w:t xml:space="preserve">данные не представлены </w:t>
            </w:r>
          </w:p>
          <w:p w14:paraId="3ACC907F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F137D3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14:paraId="0ABDE8F7" w14:textId="4C11E8FD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1E75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1EB16B" w14:textId="7DB3E799" w:rsidR="00C40A6B" w:rsidRDefault="00891E75" w:rsidP="00891E75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Справка по итогам мониторинга</w:t>
            </w:r>
          </w:p>
        </w:tc>
      </w:tr>
      <w:tr w:rsidR="00C40A6B" w14:paraId="210D026E" w14:textId="77777777" w:rsidTr="00524133">
        <w:trPr>
          <w:trHeight w:val="45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CDB11" w14:textId="2C032734" w:rsidR="00C40A6B" w:rsidRDefault="00C40A6B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  <w:lang w:eastAsia="en-US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</w:t>
            </w:r>
            <w:r w:rsidR="00AB0C7C">
              <w:rPr>
                <w:b/>
                <w:iCs/>
                <w:color w:val="auto"/>
                <w:sz w:val="22"/>
                <w:lang w:eastAsia="en-US"/>
              </w:rPr>
              <w:t xml:space="preserve">ской Федерации от 05.08.2013 </w:t>
            </w:r>
            <w:r>
              <w:rPr>
                <w:b/>
                <w:iCs/>
                <w:color w:val="auto"/>
                <w:sz w:val="22"/>
                <w:lang w:eastAsia="en-US"/>
              </w:rPr>
              <w:t>№ 662</w:t>
            </w:r>
            <w:bookmarkEnd w:id="0"/>
          </w:p>
        </w:tc>
      </w:tr>
      <w:tr w:rsidR="00C40A6B" w14:paraId="4C810B8D" w14:textId="77777777" w:rsidTr="00524133">
        <w:trPr>
          <w:trHeight w:val="1112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22F4FB" w14:textId="77777777" w:rsidR="00C40A6B" w:rsidRDefault="00C40A6B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</w:p>
          <w:p w14:paraId="31954BD7" w14:textId="0D8AA8A8" w:rsidR="00C40A6B" w:rsidRDefault="00C40A6B" w:rsidP="00891E7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Результаты мониторингов системы образован</w:t>
            </w:r>
            <w:r w:rsidR="00891E75">
              <w:rPr>
                <w:iCs/>
                <w:color w:val="auto"/>
                <w:sz w:val="22"/>
                <w:lang w:eastAsia="en-US"/>
              </w:rPr>
              <w:t>ия и внешних оценочных процедур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78B53A4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F137D3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4714A0EE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 w:rsidRPr="00F137D3">
              <w:rPr>
                <w:b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14:paraId="7D6EA8F1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 w:rsidRPr="00891E75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95427A1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по результатам оценочной процедуры, мониторинга</w:t>
            </w:r>
          </w:p>
        </w:tc>
      </w:tr>
      <w:tr w:rsidR="00C40A6B" w14:paraId="0ED79571" w14:textId="77777777" w:rsidTr="00524133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505AE" w14:textId="77777777" w:rsidR="00C40A6B" w:rsidRDefault="00C40A6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40A6B" w14:paraId="73A67E94" w14:textId="77777777" w:rsidTr="00524133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D07C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3.1.</w:t>
            </w:r>
          </w:p>
          <w:p w14:paraId="58272D57" w14:textId="1AFD5D3F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Участие обучающихся, воспитанников, подготовленных аттестуемым педагогом, в олимпиадах,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491241">
              <w:rPr>
                <w:iCs/>
                <w:color w:val="auto"/>
                <w:sz w:val="22"/>
                <w:lang w:eastAsia="en-US"/>
              </w:rPr>
              <w:t>стерством образования и науки ЛНР</w:t>
            </w:r>
            <w:bookmarkStart w:id="1" w:name="_GoBack"/>
            <w:bookmarkEnd w:id="1"/>
            <w:r>
              <w:rPr>
                <w:iCs/>
                <w:color w:val="auto"/>
                <w:sz w:val="22"/>
                <w:lang w:eastAsia="en-US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14:paraId="72034C07" w14:textId="77777777" w:rsidR="00C40A6B" w:rsidRDefault="00C40A6B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03889831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335CB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6F7363BE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в образовательной организации</w:t>
            </w:r>
          </w:p>
          <w:p w14:paraId="38C6564D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муниципальном уровне</w:t>
            </w:r>
          </w:p>
          <w:p w14:paraId="2BE99F91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региональном уровне</w:t>
            </w:r>
          </w:p>
          <w:p w14:paraId="3C9B3E1D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AC078" w14:textId="77777777" w:rsidR="00C40A6B" w:rsidRDefault="00C40A6B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олимпиаде и/или копия документа, подтверждающего результативность участника (призер, победитель, лауреат)</w:t>
            </w:r>
          </w:p>
        </w:tc>
      </w:tr>
      <w:tr w:rsidR="00C40A6B" w14:paraId="62E6CD49" w14:textId="77777777" w:rsidTr="00524133">
        <w:trPr>
          <w:trHeight w:val="50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2DC71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</w:p>
          <w:p w14:paraId="66DFAB72" w14:textId="1B74EEBB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соревнования, конференции)</w:t>
            </w:r>
          </w:p>
          <w:p w14:paraId="6FF72A29" w14:textId="77777777" w:rsidR="00891E75" w:rsidRDefault="00891E7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2DC130CC" w14:textId="77777777" w:rsidR="00C40A6B" w:rsidRDefault="00C40A6B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9C9AA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463A6A81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iCs/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14:paraId="4A14B858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14:paraId="17F0EDE0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7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14:paraId="10E25F0E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3CC" w14:textId="77777777" w:rsidR="00C40A6B" w:rsidRDefault="00C40A6B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Копия приказа/выписка из приказа об участии обучающегося (обучающихся) в мероприятии и/или </w:t>
            </w:r>
            <w:r>
              <w:rPr>
                <w:rFonts w:ascii="Times New Roman" w:hAnsi="Times New Roman" w:cs="Times New Roman"/>
                <w:iCs/>
              </w:rPr>
              <w:lastRenderedPageBreak/>
              <w:t>копия документа, подтверждающего участие</w:t>
            </w:r>
          </w:p>
        </w:tc>
      </w:tr>
      <w:tr w:rsidR="00C40A6B" w14:paraId="7F331993" w14:textId="77777777" w:rsidTr="00524133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641A" w14:textId="77777777" w:rsidR="00C40A6B" w:rsidRDefault="00C40A6B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C40A6B" w14:paraId="3878F616" w14:textId="77777777" w:rsidTr="00524133">
        <w:trPr>
          <w:trHeight w:val="763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91E53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4.1.</w:t>
            </w:r>
          </w:p>
          <w:p w14:paraId="69BD5527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8B4CD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74BCEB12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открытого урока/мероприятия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30023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C40A6B" w14:paraId="54168710" w14:textId="77777777" w:rsidTr="00524133">
        <w:trPr>
          <w:trHeight w:val="36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8CC0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bookmarkStart w:id="2" w:name="_Hlk134821013"/>
            <w:bookmarkEnd w:id="2"/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4.2.</w:t>
            </w:r>
          </w:p>
          <w:p w14:paraId="057564AA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891B" w14:textId="77777777" w:rsidR="00C40A6B" w:rsidRDefault="00C40A6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33CF7EE4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3BF81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bookmarkStart w:id="3" w:name="_Hlk134821013_Копия_1"/>
            <w:bookmarkEnd w:id="3"/>
            <w:r>
              <w:rPr>
                <w:iCs/>
                <w:color w:val="auto"/>
                <w:sz w:val="22"/>
                <w:lang w:eastAsia="en-US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C40A6B" w14:paraId="48AF9976" w14:textId="77777777" w:rsidTr="00524133">
        <w:trPr>
          <w:trHeight w:val="357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84A6C" w14:textId="77777777" w:rsidR="00C40A6B" w:rsidRDefault="00C40A6B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135C1ABB" w14:textId="77777777" w:rsidR="00C40A6B" w:rsidRDefault="00C40A6B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A3766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4" w:name="_Hlk129526481"/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EAC1820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14:paraId="4B2655D2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4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73D19" w14:textId="77777777" w:rsidR="00C40A6B" w:rsidRDefault="00C40A6B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C40A6B" w14:paraId="2A840D2C" w14:textId="77777777" w:rsidTr="00524133">
        <w:trPr>
          <w:trHeight w:val="1405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9F123F" w14:textId="77777777" w:rsidR="00C40A6B" w:rsidRDefault="00C40A6B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4.4.</w:t>
            </w:r>
          </w:p>
          <w:p w14:paraId="588BAE36" w14:textId="01FF56F9" w:rsidR="00C40A6B" w:rsidRDefault="00C40A6B" w:rsidP="00160605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891E75">
              <w:rPr>
                <w:iCs/>
                <w:sz w:val="22"/>
                <w:szCs w:val="22"/>
                <w:lang w:eastAsia="en-US"/>
              </w:rPr>
              <w:t>еподготовки) в качестве лектора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A737B8" w14:textId="77777777" w:rsidR="00C40A6B" w:rsidRDefault="00C40A6B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711491E" w14:textId="77777777" w:rsidR="00C40A6B" w:rsidRDefault="00C40A6B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3D2EAB03" w14:textId="77777777" w:rsidR="00C40A6B" w:rsidRDefault="00C40A6B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42637063" w14:textId="77777777" w:rsidR="00C40A6B" w:rsidRDefault="00C40A6B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DB6379" w14:textId="77777777" w:rsidR="00C40A6B" w:rsidRDefault="00C40A6B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C40A6B" w14:paraId="51557119" w14:textId="77777777" w:rsidTr="00524133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2056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4.5.</w:t>
            </w:r>
          </w:p>
          <w:p w14:paraId="64B7446E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AD9" w14:textId="77777777" w:rsidR="00C40A6B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5B6624E" w14:textId="26DD3E77" w:rsidR="00C40A6B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F785" w14:textId="77777777" w:rsidR="00C40A6B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C40A6B" w14:paraId="3BAB7D38" w14:textId="77777777" w:rsidTr="00524133">
        <w:trPr>
          <w:trHeight w:val="33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A65F" w14:textId="77777777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Критерий 4.6.</w:t>
            </w:r>
          </w:p>
          <w:p w14:paraId="265B5FA2" w14:textId="1E1B3731" w:rsidR="00C40A6B" w:rsidRDefault="00C40A6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  <w:lang w:eastAsia="en-US"/>
              </w:rPr>
              <w:t>организация и проведение методической и консультативной помощи педа</w:t>
            </w:r>
            <w:r w:rsidR="00891E75">
              <w:rPr>
                <w:iCs/>
                <w:color w:val="auto"/>
                <w:szCs w:val="24"/>
                <w:lang w:eastAsia="en-US"/>
              </w:rPr>
              <w:t>гогическим работникам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8A84" w14:textId="77777777" w:rsidR="00C40A6B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1E90B54" w14:textId="77777777" w:rsidR="00BC1CA6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в методических объединениях(педсоветах)/</w:t>
            </w:r>
          </w:p>
          <w:p w14:paraId="1AC2C496" w14:textId="30C00769" w:rsidR="00C40A6B" w:rsidRPr="00012BE6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  <w:lang w:eastAsia="en-US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71EE" w14:textId="77777777" w:rsidR="00C40A6B" w:rsidRDefault="00C40A6B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015AA8FA" w14:textId="77777777" w:rsidR="00C40A6B" w:rsidRDefault="00C40A6B" w:rsidP="00C40A6B">
      <w:pPr>
        <w:widowControl w:val="0"/>
        <w:spacing w:after="0" w:line="240" w:lineRule="auto"/>
        <w:ind w:left="33"/>
        <w:rPr>
          <w:iCs/>
          <w:color w:val="auto"/>
          <w:sz w:val="22"/>
        </w:rPr>
      </w:pPr>
    </w:p>
    <w:p w14:paraId="0E111E5E" w14:textId="237A57FA" w:rsidR="00C40A6B" w:rsidRPr="00891E75" w:rsidRDefault="004C6A5A" w:rsidP="004C6A5A">
      <w:pPr>
        <w:jc w:val="center"/>
        <w:rPr>
          <w:b/>
        </w:rPr>
      </w:pPr>
      <w:r w:rsidRPr="00891E75">
        <w:rPr>
          <w:b/>
        </w:rPr>
        <w:t>Дополнительный критерий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3118"/>
        <w:gridCol w:w="1979"/>
      </w:tblGrid>
      <w:tr w:rsidR="004C6A5A" w14:paraId="07624C10" w14:textId="77777777" w:rsidTr="004C6A5A">
        <w:tc>
          <w:tcPr>
            <w:tcW w:w="4395" w:type="dxa"/>
          </w:tcPr>
          <w:p w14:paraId="232E603B" w14:textId="18105FA2" w:rsidR="004C6A5A" w:rsidRDefault="004C6A5A" w:rsidP="004C6A5A">
            <w:pPr>
              <w:ind w:left="0" w:firstLine="0"/>
              <w:jc w:val="left"/>
            </w:pPr>
            <w:r>
              <w:rPr>
                <w:iCs/>
                <w:sz w:val="22"/>
                <w:lang w:eastAsia="en-US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118" w:type="dxa"/>
          </w:tcPr>
          <w:p w14:paraId="33BDBE22" w14:textId="77777777" w:rsidR="004C6A5A" w:rsidRDefault="004C6A5A" w:rsidP="004C6A5A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</w:t>
            </w:r>
          </w:p>
          <w:p w14:paraId="452E7E9E" w14:textId="1133E3AA" w:rsidR="004C6A5A" w:rsidRDefault="004C6A5A" w:rsidP="004C6A5A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>- наличие подтверждающих документов</w:t>
            </w:r>
          </w:p>
        </w:tc>
        <w:tc>
          <w:tcPr>
            <w:tcW w:w="1979" w:type="dxa"/>
          </w:tcPr>
          <w:p w14:paraId="23BC3C4E" w14:textId="19971A01" w:rsidR="004C6A5A" w:rsidRDefault="004C6A5A" w:rsidP="004C6A5A">
            <w:pPr>
              <w:ind w:left="0" w:firstLine="0"/>
              <w:jc w:val="left"/>
            </w:pPr>
            <w:r>
              <w:rPr>
                <w:iCs/>
                <w:color w:val="auto"/>
                <w:sz w:val="22"/>
                <w:lang w:eastAsia="en-US"/>
              </w:rPr>
              <w:t>Копия приказа о приеме на работу, копия диплома об образовании</w:t>
            </w:r>
          </w:p>
        </w:tc>
      </w:tr>
    </w:tbl>
    <w:p w14:paraId="41C6C1AF" w14:textId="61DFF550" w:rsidR="007357DA" w:rsidRDefault="007357DA" w:rsidP="004C6A5A">
      <w:pPr>
        <w:jc w:val="center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6B"/>
    <w:rsid w:val="00012BE6"/>
    <w:rsid w:val="00160605"/>
    <w:rsid w:val="002447E8"/>
    <w:rsid w:val="00491241"/>
    <w:rsid w:val="004C6A5A"/>
    <w:rsid w:val="00524133"/>
    <w:rsid w:val="005A28A8"/>
    <w:rsid w:val="006B69B1"/>
    <w:rsid w:val="007357DA"/>
    <w:rsid w:val="00891E75"/>
    <w:rsid w:val="00AB0C7C"/>
    <w:rsid w:val="00AB6139"/>
    <w:rsid w:val="00AD1922"/>
    <w:rsid w:val="00BC1CA6"/>
    <w:rsid w:val="00C40A6B"/>
    <w:rsid w:val="00F1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7D56"/>
  <w15:chartTrackingRefBased/>
  <w15:docId w15:val="{9CC13A1A-9484-4DD1-AB0A-A311F3CCA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A6B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40A6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C40A6B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C40A6B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4C6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16</cp:revision>
  <dcterms:created xsi:type="dcterms:W3CDTF">2023-09-06T05:15:00Z</dcterms:created>
  <dcterms:modified xsi:type="dcterms:W3CDTF">2024-01-17T08:05:00Z</dcterms:modified>
</cp:coreProperties>
</file>